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0424" w14:textId="77777777" w:rsidR="00C55463" w:rsidRDefault="00A26C1F">
      <w:pPr>
        <w:spacing w:after="498" w:line="259" w:lineRule="auto"/>
        <w:ind w:left="16" w:firstLine="0"/>
        <w:jc w:val="center"/>
      </w:pPr>
      <w:r>
        <w:rPr>
          <w:b/>
          <w:color w:val="7030A0"/>
          <w:sz w:val="28"/>
          <w:u w:val="single" w:color="7030A0"/>
        </w:rPr>
        <w:t>Job Description</w:t>
      </w:r>
    </w:p>
    <w:p w14:paraId="51DCB22B" w14:textId="6FB56E51" w:rsidR="00C55463" w:rsidRDefault="00A26C1F">
      <w:pPr>
        <w:tabs>
          <w:tab w:val="center" w:pos="2966"/>
        </w:tabs>
        <w:spacing w:after="0" w:line="265" w:lineRule="auto"/>
        <w:ind w:left="-15" w:firstLine="0"/>
      </w:pPr>
      <w:r>
        <w:rPr>
          <w:b/>
          <w:color w:val="7030A0"/>
          <w:sz w:val="22"/>
        </w:rPr>
        <w:t>Job Title:</w:t>
      </w:r>
      <w:r>
        <w:rPr>
          <w:b/>
          <w:color w:val="7030A0"/>
          <w:sz w:val="22"/>
        </w:rPr>
        <w:tab/>
      </w:r>
      <w:r w:rsidR="00260DCA">
        <w:rPr>
          <w:b/>
          <w:color w:val="7030A0"/>
          <w:sz w:val="22"/>
        </w:rPr>
        <w:t xml:space="preserve">         S</w:t>
      </w:r>
      <w:r w:rsidR="00320893">
        <w:rPr>
          <w:b/>
          <w:color w:val="7030A0"/>
          <w:sz w:val="22"/>
        </w:rPr>
        <w:t xml:space="preserve">exual Health Clinical Lead </w:t>
      </w:r>
    </w:p>
    <w:p w14:paraId="1AABF457" w14:textId="31C84897" w:rsidR="00C55463" w:rsidRDefault="00A26C1F">
      <w:pPr>
        <w:tabs>
          <w:tab w:val="center" w:pos="3583"/>
        </w:tabs>
        <w:spacing w:after="509" w:line="265" w:lineRule="auto"/>
        <w:ind w:left="-15" w:firstLine="0"/>
      </w:pPr>
      <w:r>
        <w:rPr>
          <w:b/>
          <w:color w:val="7030A0"/>
          <w:sz w:val="22"/>
        </w:rPr>
        <w:t>Accountable to</w:t>
      </w:r>
      <w:r w:rsidR="00320893">
        <w:rPr>
          <w:b/>
          <w:color w:val="7030A0"/>
          <w:sz w:val="22"/>
        </w:rPr>
        <w:t xml:space="preserve">:   </w:t>
      </w:r>
      <w:r>
        <w:rPr>
          <w:b/>
          <w:color w:val="7030A0"/>
          <w:sz w:val="22"/>
        </w:rPr>
        <w:t>Head of Healthcare</w:t>
      </w:r>
    </w:p>
    <w:p w14:paraId="51C9637A" w14:textId="77777777" w:rsidR="00C55463" w:rsidRDefault="00A26C1F">
      <w:pPr>
        <w:spacing w:after="233"/>
        <w:ind w:left="-5" w:right="10"/>
      </w:pPr>
      <w:r>
        <w:t xml:space="preserve">Practice Plus Group’s mission is </w:t>
      </w:r>
      <w:r>
        <w:rPr>
          <w:b/>
          <w:color w:val="7030A0"/>
        </w:rPr>
        <w:t>Access to Excellence</w:t>
      </w:r>
      <w:r>
        <w:t>. Our core values are;</w:t>
      </w:r>
    </w:p>
    <w:p w14:paraId="35FA302A" w14:textId="77777777" w:rsidR="00C55463" w:rsidRDefault="00A26C1F">
      <w:pPr>
        <w:numPr>
          <w:ilvl w:val="0"/>
          <w:numId w:val="1"/>
        </w:numPr>
        <w:ind w:right="10" w:hanging="360"/>
      </w:pPr>
      <w:r>
        <w:t>we treat patients and each other as we would like to be treated,</w:t>
      </w:r>
    </w:p>
    <w:p w14:paraId="5A1683DD" w14:textId="77777777" w:rsidR="00C55463" w:rsidRDefault="00A26C1F">
      <w:pPr>
        <w:numPr>
          <w:ilvl w:val="0"/>
          <w:numId w:val="1"/>
        </w:numPr>
        <w:ind w:right="10" w:hanging="360"/>
      </w:pPr>
      <w:r>
        <w:t>we act with integrity</w:t>
      </w:r>
    </w:p>
    <w:p w14:paraId="2CCD8F80" w14:textId="77777777" w:rsidR="00C55463" w:rsidRDefault="00A26C1F">
      <w:pPr>
        <w:numPr>
          <w:ilvl w:val="0"/>
          <w:numId w:val="1"/>
        </w:numPr>
        <w:ind w:right="10" w:hanging="360"/>
      </w:pPr>
      <w:r>
        <w:t>we embrace diversity</w:t>
      </w:r>
    </w:p>
    <w:p w14:paraId="6506EFA6" w14:textId="77777777" w:rsidR="00C55463" w:rsidRDefault="00A26C1F">
      <w:pPr>
        <w:numPr>
          <w:ilvl w:val="0"/>
          <w:numId w:val="1"/>
        </w:numPr>
        <w:spacing w:after="233"/>
        <w:ind w:right="10" w:hanging="360"/>
      </w:pPr>
      <w:r>
        <w:t>we strive to do things better together.</w:t>
      </w:r>
    </w:p>
    <w:p w14:paraId="56249E73" w14:textId="77777777" w:rsidR="00C55463" w:rsidRDefault="00A26C1F">
      <w:pPr>
        <w:ind w:left="-5" w:right="10"/>
      </w:pPr>
      <w:r>
        <w:t>Patients can only access excellence if we commit to living our values in everything we do when we’re at work.</w:t>
      </w:r>
    </w:p>
    <w:p w14:paraId="55DF983D" w14:textId="77777777" w:rsidR="00C55463" w:rsidRDefault="00A26C1F">
      <w:pPr>
        <w:spacing w:after="327" w:line="259" w:lineRule="auto"/>
        <w:ind w:left="0" w:right="-20" w:firstLine="0"/>
      </w:pPr>
      <w:r>
        <w:rPr>
          <w:rFonts w:ascii="Calibri" w:eastAsia="Calibri" w:hAnsi="Calibri" w:cs="Calibri"/>
          <w:noProof/>
          <w:color w:val="000000"/>
          <w:sz w:val="22"/>
        </w:rPr>
        <mc:AlternateContent>
          <mc:Choice Requires="wpg">
            <w:drawing>
              <wp:inline distT="0" distB="0" distL="0" distR="0" wp14:anchorId="55987CCE" wp14:editId="55F8D9E1">
                <wp:extent cx="5734050" cy="752475"/>
                <wp:effectExtent l="0" t="0" r="0" b="0"/>
                <wp:docPr id="5100" name="Group 5100"/>
                <wp:cNvGraphicFramePr/>
                <a:graphic xmlns:a="http://schemas.openxmlformats.org/drawingml/2006/main">
                  <a:graphicData uri="http://schemas.microsoft.com/office/word/2010/wordprocessingGroup">
                    <wpg:wgp>
                      <wpg:cNvGrpSpPr/>
                      <wpg:grpSpPr>
                        <a:xfrm>
                          <a:off x="0" y="0"/>
                          <a:ext cx="5734050" cy="752475"/>
                          <a:chOff x="0" y="0"/>
                          <a:chExt cx="5734050" cy="752475"/>
                        </a:xfrm>
                      </wpg:grpSpPr>
                      <pic:pic xmlns:pic="http://schemas.openxmlformats.org/drawingml/2006/picture">
                        <pic:nvPicPr>
                          <pic:cNvPr id="406" name="Picture 406"/>
                          <pic:cNvPicPr/>
                        </pic:nvPicPr>
                        <pic:blipFill>
                          <a:blip r:embed="rId5"/>
                          <a:stretch>
                            <a:fillRect/>
                          </a:stretch>
                        </pic:blipFill>
                        <pic:spPr>
                          <a:xfrm>
                            <a:off x="2734915" y="0"/>
                            <a:ext cx="523875" cy="752475"/>
                          </a:xfrm>
                          <a:prstGeom prst="rect">
                            <a:avLst/>
                          </a:prstGeom>
                        </pic:spPr>
                      </pic:pic>
                      <pic:pic xmlns:pic="http://schemas.openxmlformats.org/drawingml/2006/picture">
                        <pic:nvPicPr>
                          <pic:cNvPr id="408" name="Picture 408"/>
                          <pic:cNvPicPr/>
                        </pic:nvPicPr>
                        <pic:blipFill>
                          <a:blip r:embed="rId6"/>
                          <a:stretch>
                            <a:fillRect/>
                          </a:stretch>
                        </pic:blipFill>
                        <pic:spPr>
                          <a:xfrm>
                            <a:off x="0" y="171450"/>
                            <a:ext cx="2219325" cy="19050"/>
                          </a:xfrm>
                          <a:prstGeom prst="rect">
                            <a:avLst/>
                          </a:prstGeom>
                        </pic:spPr>
                      </pic:pic>
                      <pic:pic xmlns:pic="http://schemas.openxmlformats.org/drawingml/2006/picture">
                        <pic:nvPicPr>
                          <pic:cNvPr id="410" name="Picture 410"/>
                          <pic:cNvPicPr/>
                        </pic:nvPicPr>
                        <pic:blipFill>
                          <a:blip r:embed="rId7"/>
                          <a:stretch>
                            <a:fillRect/>
                          </a:stretch>
                        </pic:blipFill>
                        <pic:spPr>
                          <a:xfrm>
                            <a:off x="3457575" y="171450"/>
                            <a:ext cx="2276475" cy="47625"/>
                          </a:xfrm>
                          <a:prstGeom prst="rect">
                            <a:avLst/>
                          </a:prstGeom>
                        </pic:spPr>
                      </pic:pic>
                    </wpg:wgp>
                  </a:graphicData>
                </a:graphic>
              </wp:inline>
            </w:drawing>
          </mc:Choice>
          <mc:Fallback xmlns:a="http://schemas.openxmlformats.org/drawingml/2006/main">
            <w:pict>
              <v:group id="Group 5100" style="width:451.5pt;height:59.25pt;mso-position-horizontal-relative:char;mso-position-vertical-relative:line" coordsize="57340,7524">
                <v:shape id="Picture 406" style="position:absolute;width:5238;height:7524;left:27349;top:0;" filled="f">
                  <v:imagedata r:id="rId8"/>
                </v:shape>
                <v:shape id="Picture 408" style="position:absolute;width:22193;height:190;left:0;top:1714;" filled="f">
                  <v:imagedata r:id="rId9"/>
                </v:shape>
                <v:shape id="Picture 410" style="position:absolute;width:22764;height:476;left:34575;top:1714;" filled="f">
                  <v:imagedata r:id="rId10"/>
                </v:shape>
              </v:group>
            </w:pict>
          </mc:Fallback>
        </mc:AlternateContent>
      </w:r>
    </w:p>
    <w:p w14:paraId="7DE03CAA" w14:textId="77777777" w:rsidR="00C55463" w:rsidRDefault="00A26C1F">
      <w:pPr>
        <w:spacing w:after="484"/>
        <w:ind w:left="-5" w:right="10"/>
      </w:pPr>
      <w:r>
        <w:rPr>
          <w:noProof/>
        </w:rPr>
        <w:drawing>
          <wp:anchor distT="0" distB="0" distL="114300" distR="114300" simplePos="0" relativeHeight="251658240" behindDoc="0" locked="0" layoutInCell="1" allowOverlap="0" wp14:anchorId="46CB6DEC" wp14:editId="0544C0C4">
            <wp:simplePos x="0" y="0"/>
            <wp:positionH relativeFrom="page">
              <wp:posOffset>4559625</wp:posOffset>
            </wp:positionH>
            <wp:positionV relativeFrom="page">
              <wp:posOffset>468630</wp:posOffset>
            </wp:positionV>
            <wp:extent cx="2066925" cy="590550"/>
            <wp:effectExtent l="0" t="0" r="0" b="0"/>
            <wp:wrapTopAndBottom/>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11"/>
                    <a:stretch>
                      <a:fillRect/>
                    </a:stretch>
                  </pic:blipFill>
                  <pic:spPr>
                    <a:xfrm>
                      <a:off x="0" y="0"/>
                      <a:ext cx="2066925" cy="590550"/>
                    </a:xfrm>
                    <a:prstGeom prst="rect">
                      <a:avLst/>
                    </a:prstGeom>
                  </pic:spPr>
                </pic:pic>
              </a:graphicData>
            </a:graphic>
          </wp:anchor>
        </w:drawing>
      </w:r>
      <w:r>
        <w:t>We believe in putting the patient first, regardless of the environment or their history. The prison population is one of the most vulnerable and challenged patient groups in society and the delivery of their health care is conducted within often difficult and demanding environments.</w:t>
      </w:r>
    </w:p>
    <w:p w14:paraId="66221D40" w14:textId="45C8FCC9" w:rsidR="00320893" w:rsidRDefault="00A26C1F" w:rsidP="00320893">
      <w:pPr>
        <w:pStyle w:val="Heading1"/>
        <w:ind w:left="-5"/>
      </w:pPr>
      <w:r>
        <w:t>The role</w:t>
      </w:r>
    </w:p>
    <w:p w14:paraId="164BAE6F" w14:textId="0D53C800" w:rsidR="00C55463" w:rsidRDefault="00A26C1F">
      <w:pPr>
        <w:spacing w:after="233"/>
        <w:ind w:left="-5" w:right="10"/>
      </w:pPr>
      <w:r>
        <w:t>As the Inpatients Lead you will contribute to our healthcare strategy and vision to;</w:t>
      </w:r>
    </w:p>
    <w:p w14:paraId="5B0605C2" w14:textId="77777777" w:rsidR="00320893" w:rsidRPr="00320893" w:rsidRDefault="00320893" w:rsidP="00320893">
      <w:pPr>
        <w:spacing w:before="100" w:beforeAutospacing="1" w:after="100" w:afterAutospacing="1" w:line="240" w:lineRule="auto"/>
      </w:pPr>
      <w:r w:rsidRPr="00320893">
        <w:t>The Women’s Hub Practitioner will play a central role in delivering high-quality, person-centred healthcare to women within a custodial environment. This role focuses on the unique physical, emotional, and psychosocial health needs of women, ensuring access to responsive, confidential, and trauma-informed care. The practitioner will support women across the lifespan, with specific emphasis on sexual health, menopause, menstrual health, contraception, and the needs of ageing women.</w:t>
      </w:r>
    </w:p>
    <w:p w14:paraId="11E4917D" w14:textId="77777777" w:rsidR="00320893" w:rsidRPr="00320893" w:rsidRDefault="00320893" w:rsidP="00320893">
      <w:pPr>
        <w:spacing w:before="100" w:beforeAutospacing="1" w:after="100" w:afterAutospacing="1" w:line="240" w:lineRule="auto"/>
        <w:outlineLvl w:val="2"/>
      </w:pPr>
      <w:r w:rsidRPr="00320893">
        <w:t xml:space="preserve">1. Women’s Health </w:t>
      </w:r>
    </w:p>
    <w:p w14:paraId="08AE1BE4" w14:textId="77777777" w:rsidR="00320893" w:rsidRPr="00320893" w:rsidRDefault="00320893" w:rsidP="00320893">
      <w:pPr>
        <w:numPr>
          <w:ilvl w:val="0"/>
          <w:numId w:val="3"/>
        </w:numPr>
        <w:spacing w:before="100" w:beforeAutospacing="1" w:after="100" w:afterAutospacing="1" w:line="240" w:lineRule="auto"/>
      </w:pPr>
      <w:r w:rsidRPr="00320893">
        <w:t>Deliver evidence-based assessment, planning, implementation, and evaluation of women’s health interventions.</w:t>
      </w:r>
    </w:p>
    <w:p w14:paraId="1A70A524" w14:textId="77777777" w:rsidR="00320893" w:rsidRPr="00320893" w:rsidRDefault="00320893" w:rsidP="00320893">
      <w:pPr>
        <w:numPr>
          <w:ilvl w:val="0"/>
          <w:numId w:val="3"/>
        </w:numPr>
        <w:spacing w:before="100" w:beforeAutospacing="1" w:after="100" w:afterAutospacing="1" w:line="240" w:lineRule="auto"/>
      </w:pPr>
      <w:r w:rsidRPr="00320893">
        <w:t>Provide support for menstrual health, including management of menstrual disorders, access to products, and education.</w:t>
      </w:r>
    </w:p>
    <w:p w14:paraId="6E7C091A" w14:textId="77777777" w:rsidR="00320893" w:rsidRPr="00320893" w:rsidRDefault="00320893" w:rsidP="00320893">
      <w:pPr>
        <w:numPr>
          <w:ilvl w:val="0"/>
          <w:numId w:val="3"/>
        </w:numPr>
        <w:spacing w:before="100" w:beforeAutospacing="1" w:after="100" w:afterAutospacing="1" w:line="240" w:lineRule="auto"/>
      </w:pPr>
      <w:r w:rsidRPr="00320893">
        <w:t>Offer menopause support and guidance, including symptom assessment, lifestyle advice, and treatment options.</w:t>
      </w:r>
    </w:p>
    <w:p w14:paraId="27761F09" w14:textId="77777777" w:rsidR="00320893" w:rsidRPr="00320893" w:rsidRDefault="00320893" w:rsidP="00320893">
      <w:pPr>
        <w:numPr>
          <w:ilvl w:val="0"/>
          <w:numId w:val="3"/>
        </w:numPr>
        <w:spacing w:before="100" w:beforeAutospacing="1" w:after="100" w:afterAutospacing="1" w:line="240" w:lineRule="auto"/>
      </w:pPr>
      <w:r w:rsidRPr="00320893">
        <w:t>Assess and address the needs of ageing women, considering long-term conditions, mobility, continence, and mental wellbeing.</w:t>
      </w:r>
    </w:p>
    <w:p w14:paraId="79916805" w14:textId="77777777" w:rsidR="00320893" w:rsidRPr="00320893" w:rsidRDefault="00320893" w:rsidP="00320893">
      <w:pPr>
        <w:spacing w:before="100" w:beforeAutospacing="1" w:after="100" w:afterAutospacing="1" w:line="240" w:lineRule="auto"/>
        <w:outlineLvl w:val="2"/>
      </w:pPr>
      <w:r w:rsidRPr="00320893">
        <w:t>2. Sexual &amp; Reproductive Health</w:t>
      </w:r>
    </w:p>
    <w:p w14:paraId="5A507A28" w14:textId="77777777" w:rsidR="00320893" w:rsidRPr="00320893" w:rsidRDefault="00320893" w:rsidP="00320893">
      <w:pPr>
        <w:numPr>
          <w:ilvl w:val="0"/>
          <w:numId w:val="4"/>
        </w:numPr>
        <w:spacing w:before="100" w:beforeAutospacing="1" w:after="100" w:afterAutospacing="1" w:line="240" w:lineRule="auto"/>
      </w:pPr>
      <w:r w:rsidRPr="00320893">
        <w:t>Deliver sexual health screening, assessment, and treatment pathways.</w:t>
      </w:r>
    </w:p>
    <w:p w14:paraId="5C6B3190" w14:textId="77777777" w:rsidR="00320893" w:rsidRPr="00320893" w:rsidRDefault="00320893" w:rsidP="00320893">
      <w:pPr>
        <w:numPr>
          <w:ilvl w:val="0"/>
          <w:numId w:val="4"/>
        </w:numPr>
        <w:spacing w:before="100" w:beforeAutospacing="1" w:after="100" w:afterAutospacing="1" w:line="240" w:lineRule="auto"/>
      </w:pPr>
      <w:r w:rsidRPr="00320893">
        <w:lastRenderedPageBreak/>
        <w:t>Offer contraception counselling and access, including long-acting reversible contraception where clinically appropriate.</w:t>
      </w:r>
    </w:p>
    <w:p w14:paraId="175943C5" w14:textId="77777777" w:rsidR="00320893" w:rsidRPr="00320893" w:rsidRDefault="00320893" w:rsidP="00320893">
      <w:pPr>
        <w:numPr>
          <w:ilvl w:val="0"/>
          <w:numId w:val="4"/>
        </w:numPr>
        <w:spacing w:before="100" w:beforeAutospacing="1" w:after="100" w:afterAutospacing="1" w:line="240" w:lineRule="auto"/>
      </w:pPr>
      <w:r w:rsidRPr="00320893">
        <w:t>Provide pregnancy testing, antenatal/postnatal support, and referral to specialist services.</w:t>
      </w:r>
    </w:p>
    <w:p w14:paraId="5689A9F7" w14:textId="77777777" w:rsidR="00320893" w:rsidRPr="00320893" w:rsidRDefault="00320893" w:rsidP="00320893">
      <w:pPr>
        <w:numPr>
          <w:ilvl w:val="0"/>
          <w:numId w:val="4"/>
        </w:numPr>
        <w:spacing w:before="100" w:beforeAutospacing="1" w:after="100" w:afterAutospacing="1" w:line="240" w:lineRule="auto"/>
      </w:pPr>
      <w:r w:rsidRPr="00320893">
        <w:t>Ensure safeguarding, consent, confidentiality, and sensitive communication at all stages.</w:t>
      </w:r>
    </w:p>
    <w:p w14:paraId="7A4A5AEB" w14:textId="77777777" w:rsidR="00320893" w:rsidRPr="00320893" w:rsidRDefault="00320893" w:rsidP="00320893">
      <w:pPr>
        <w:spacing w:before="100" w:beforeAutospacing="1" w:after="100" w:afterAutospacing="1" w:line="240" w:lineRule="auto"/>
        <w:outlineLvl w:val="2"/>
      </w:pPr>
      <w:r w:rsidRPr="00320893">
        <w:t>3. Trauma-Informed Practice</w:t>
      </w:r>
    </w:p>
    <w:p w14:paraId="118EE2AF" w14:textId="77777777" w:rsidR="00320893" w:rsidRPr="00320893" w:rsidRDefault="00320893" w:rsidP="00320893">
      <w:pPr>
        <w:numPr>
          <w:ilvl w:val="0"/>
          <w:numId w:val="5"/>
        </w:numPr>
        <w:spacing w:before="100" w:beforeAutospacing="1" w:after="100" w:afterAutospacing="1" w:line="240" w:lineRule="auto"/>
      </w:pPr>
      <w:r w:rsidRPr="00320893">
        <w:t>Apply a trauma-informed, gender-responsive approach to all interactions, recognising the prevalence and impact of trauma in women’s custodial settings.</w:t>
      </w:r>
    </w:p>
    <w:p w14:paraId="319B0A0C" w14:textId="77777777" w:rsidR="00320893" w:rsidRPr="00320893" w:rsidRDefault="00320893" w:rsidP="00320893">
      <w:pPr>
        <w:numPr>
          <w:ilvl w:val="0"/>
          <w:numId w:val="5"/>
        </w:numPr>
        <w:spacing w:before="100" w:beforeAutospacing="1" w:after="100" w:afterAutospacing="1" w:line="240" w:lineRule="auto"/>
      </w:pPr>
      <w:r w:rsidRPr="00320893">
        <w:t>Adapt communication, clinical assessment, and support to reduce re-traumatisation and promote psychological safety.</w:t>
      </w:r>
    </w:p>
    <w:p w14:paraId="23DD4A39" w14:textId="77777777" w:rsidR="00320893" w:rsidRPr="00320893" w:rsidRDefault="00320893" w:rsidP="00320893">
      <w:pPr>
        <w:numPr>
          <w:ilvl w:val="0"/>
          <w:numId w:val="5"/>
        </w:numPr>
        <w:spacing w:before="100" w:beforeAutospacing="1" w:after="100" w:afterAutospacing="1" w:line="240" w:lineRule="auto"/>
      </w:pPr>
      <w:r w:rsidRPr="00320893">
        <w:t>Work collaboratively with mental health teams, social care, substance misuse services, and custodial staff to provide holistic care.</w:t>
      </w:r>
    </w:p>
    <w:p w14:paraId="7B753AB4" w14:textId="77777777" w:rsidR="00320893" w:rsidRPr="00320893" w:rsidRDefault="00320893" w:rsidP="00320893">
      <w:pPr>
        <w:spacing w:before="100" w:beforeAutospacing="1" w:after="100" w:afterAutospacing="1" w:line="240" w:lineRule="auto"/>
        <w:outlineLvl w:val="2"/>
      </w:pPr>
      <w:r w:rsidRPr="00320893">
        <w:t>4. Health Promotion &amp; Education</w:t>
      </w:r>
    </w:p>
    <w:p w14:paraId="5B5A0EF7" w14:textId="77777777" w:rsidR="00320893" w:rsidRPr="00320893" w:rsidRDefault="00320893" w:rsidP="00320893">
      <w:pPr>
        <w:numPr>
          <w:ilvl w:val="0"/>
          <w:numId w:val="6"/>
        </w:numPr>
        <w:spacing w:before="100" w:beforeAutospacing="1" w:after="100" w:afterAutospacing="1" w:line="240" w:lineRule="auto"/>
      </w:pPr>
      <w:r w:rsidRPr="00320893">
        <w:t>Deliver group and one-to-one health education sessions on topics such as sexual health, menstrual wellbeing, contraception, menopause, healthy ageing, and self-care.</w:t>
      </w:r>
    </w:p>
    <w:p w14:paraId="28FCF213" w14:textId="77777777" w:rsidR="00320893" w:rsidRPr="00320893" w:rsidRDefault="00320893" w:rsidP="00320893">
      <w:pPr>
        <w:numPr>
          <w:ilvl w:val="0"/>
          <w:numId w:val="6"/>
        </w:numPr>
        <w:spacing w:before="100" w:beforeAutospacing="1" w:after="100" w:afterAutospacing="1" w:line="240" w:lineRule="auto"/>
      </w:pPr>
      <w:r w:rsidRPr="00320893">
        <w:t>Empower women to engage actively in their own healthcare and make informed choices.</w:t>
      </w:r>
    </w:p>
    <w:p w14:paraId="0ADF7C4D" w14:textId="77777777" w:rsidR="00320893" w:rsidRPr="00320893" w:rsidRDefault="00320893" w:rsidP="00320893">
      <w:pPr>
        <w:numPr>
          <w:ilvl w:val="0"/>
          <w:numId w:val="6"/>
        </w:numPr>
        <w:spacing w:before="100" w:beforeAutospacing="1" w:after="100" w:afterAutospacing="1" w:line="240" w:lineRule="auto"/>
      </w:pPr>
      <w:r w:rsidRPr="00320893">
        <w:t>Promote screening programmes including cervical screening, breast awareness, blood-borne virus testing, and long-term condition reviews.</w:t>
      </w:r>
    </w:p>
    <w:p w14:paraId="3AB04EB2" w14:textId="77777777" w:rsidR="00320893" w:rsidRPr="00320893" w:rsidRDefault="00320893" w:rsidP="00320893">
      <w:pPr>
        <w:spacing w:before="100" w:beforeAutospacing="1" w:after="100" w:afterAutospacing="1" w:line="240" w:lineRule="auto"/>
        <w:outlineLvl w:val="2"/>
      </w:pPr>
      <w:r w:rsidRPr="00320893">
        <w:t>5. Safeguarding &amp; Risk Management</w:t>
      </w:r>
    </w:p>
    <w:p w14:paraId="18C7C966" w14:textId="77777777" w:rsidR="00320893" w:rsidRPr="00320893" w:rsidRDefault="00320893" w:rsidP="00320893">
      <w:pPr>
        <w:numPr>
          <w:ilvl w:val="0"/>
          <w:numId w:val="7"/>
        </w:numPr>
        <w:spacing w:before="100" w:beforeAutospacing="1" w:after="100" w:afterAutospacing="1" w:line="240" w:lineRule="auto"/>
      </w:pPr>
      <w:r w:rsidRPr="00320893">
        <w:t>Identify and escalate safeguarding concerns in line with Practice Plus Group and prison policies.</w:t>
      </w:r>
    </w:p>
    <w:p w14:paraId="43861383" w14:textId="77777777" w:rsidR="00320893" w:rsidRPr="00320893" w:rsidRDefault="00320893" w:rsidP="00320893">
      <w:pPr>
        <w:numPr>
          <w:ilvl w:val="0"/>
          <w:numId w:val="7"/>
        </w:numPr>
        <w:spacing w:before="100" w:beforeAutospacing="1" w:after="100" w:afterAutospacing="1" w:line="240" w:lineRule="auto"/>
      </w:pPr>
      <w:r w:rsidRPr="00320893">
        <w:t>Maintain accurate clinical documentation and contribute to risk assessments, care plans, and multidisciplinary reviews.</w:t>
      </w:r>
    </w:p>
    <w:p w14:paraId="09A7710B" w14:textId="77777777" w:rsidR="00320893" w:rsidRPr="00320893" w:rsidRDefault="00320893" w:rsidP="00320893">
      <w:pPr>
        <w:numPr>
          <w:ilvl w:val="0"/>
          <w:numId w:val="7"/>
        </w:numPr>
        <w:spacing w:before="100" w:beforeAutospacing="1" w:after="100" w:afterAutospacing="1" w:line="240" w:lineRule="auto"/>
      </w:pPr>
      <w:r w:rsidRPr="00320893">
        <w:t>Ensure all clinical practice adheres to relevant governance, infection control, and professional standards.</w:t>
      </w:r>
    </w:p>
    <w:p w14:paraId="77A86E69" w14:textId="77777777" w:rsidR="00320893" w:rsidRPr="00320893" w:rsidRDefault="00320893" w:rsidP="00320893">
      <w:pPr>
        <w:spacing w:before="100" w:beforeAutospacing="1" w:after="100" w:afterAutospacing="1" w:line="240" w:lineRule="auto"/>
        <w:outlineLvl w:val="2"/>
      </w:pPr>
      <w:r w:rsidRPr="00320893">
        <w:t>6. Partnership Working</w:t>
      </w:r>
    </w:p>
    <w:p w14:paraId="13A0B3EC" w14:textId="77777777" w:rsidR="00320893" w:rsidRPr="00320893" w:rsidRDefault="00320893" w:rsidP="00320893">
      <w:pPr>
        <w:numPr>
          <w:ilvl w:val="0"/>
          <w:numId w:val="8"/>
        </w:numPr>
        <w:spacing w:before="100" w:beforeAutospacing="1" w:after="100" w:afterAutospacing="1" w:line="240" w:lineRule="auto"/>
      </w:pPr>
      <w:r w:rsidRPr="00320893">
        <w:t>Work closely with internal multidisciplinary teams, external NHS providers, voluntary sector organisations, and specialist services to ensure continuity of care.</w:t>
      </w:r>
    </w:p>
    <w:p w14:paraId="5AD78490" w14:textId="2F750DAF" w:rsidR="00320893" w:rsidRDefault="00320893" w:rsidP="00320893">
      <w:pPr>
        <w:numPr>
          <w:ilvl w:val="0"/>
          <w:numId w:val="8"/>
        </w:numPr>
        <w:spacing w:before="100" w:beforeAutospacing="1" w:after="100" w:afterAutospacing="1" w:line="240" w:lineRule="auto"/>
      </w:pPr>
      <w:r w:rsidRPr="00320893">
        <w:t>Contribute to integrated care pathways that address physical, psychological, and social needs.</w:t>
      </w:r>
    </w:p>
    <w:p w14:paraId="1ADC1F24" w14:textId="77777777" w:rsidR="00320893" w:rsidRDefault="00320893" w:rsidP="00320893">
      <w:pPr>
        <w:pStyle w:val="Default"/>
        <w:rPr>
          <w:color w:val="234060"/>
          <w:sz w:val="20"/>
          <w:szCs w:val="20"/>
        </w:rPr>
      </w:pPr>
      <w:r>
        <w:rPr>
          <w:b/>
          <w:bCs/>
          <w:color w:val="6F2F9F"/>
          <w:sz w:val="20"/>
          <w:szCs w:val="20"/>
        </w:rPr>
        <w:t xml:space="preserve">Provide </w:t>
      </w:r>
      <w:r>
        <w:rPr>
          <w:color w:val="234060"/>
          <w:sz w:val="20"/>
          <w:szCs w:val="20"/>
        </w:rPr>
        <w:t xml:space="preserve">outstanding </w:t>
      </w:r>
      <w:proofErr w:type="gramStart"/>
      <w:r>
        <w:rPr>
          <w:color w:val="234060"/>
          <w:sz w:val="20"/>
          <w:szCs w:val="20"/>
        </w:rPr>
        <w:t>evidence based</w:t>
      </w:r>
      <w:proofErr w:type="gramEnd"/>
      <w:r>
        <w:rPr>
          <w:color w:val="234060"/>
          <w:sz w:val="20"/>
          <w:szCs w:val="20"/>
        </w:rPr>
        <w:t xml:space="preserve"> care to our patients, seeking out, listening to and acting on their feedback, so that care is personalised and informed by what matters to them. </w:t>
      </w:r>
    </w:p>
    <w:p w14:paraId="4B04A617" w14:textId="77777777" w:rsidR="00320893" w:rsidRDefault="00320893" w:rsidP="00320893">
      <w:pPr>
        <w:pStyle w:val="Default"/>
        <w:rPr>
          <w:b/>
          <w:bCs/>
          <w:color w:val="6F2F9F"/>
          <w:sz w:val="20"/>
          <w:szCs w:val="20"/>
        </w:rPr>
      </w:pPr>
    </w:p>
    <w:p w14:paraId="09A35DF5" w14:textId="53ED2080" w:rsidR="00320893" w:rsidRDefault="00320893" w:rsidP="00320893">
      <w:pPr>
        <w:pStyle w:val="Default"/>
        <w:rPr>
          <w:color w:val="234060"/>
          <w:sz w:val="20"/>
          <w:szCs w:val="20"/>
        </w:rPr>
      </w:pPr>
      <w:r>
        <w:rPr>
          <w:b/>
          <w:bCs/>
          <w:color w:val="6F2F9F"/>
          <w:sz w:val="20"/>
          <w:szCs w:val="20"/>
        </w:rPr>
        <w:t xml:space="preserve">Deliver </w:t>
      </w:r>
      <w:r>
        <w:rPr>
          <w:color w:val="234060"/>
          <w:sz w:val="20"/>
          <w:szCs w:val="20"/>
        </w:rPr>
        <w:t xml:space="preserve">non-judgemental care that makes a real difference, as defined throughout our bespoke Health in Justice Competency framework. </w:t>
      </w:r>
    </w:p>
    <w:p w14:paraId="0C6D8B77" w14:textId="77777777" w:rsidR="00320893" w:rsidRDefault="00320893" w:rsidP="00320893">
      <w:pPr>
        <w:pStyle w:val="Default"/>
        <w:rPr>
          <w:b/>
          <w:bCs/>
          <w:color w:val="6F2F9F"/>
          <w:sz w:val="20"/>
          <w:szCs w:val="20"/>
        </w:rPr>
      </w:pPr>
    </w:p>
    <w:p w14:paraId="5B58241E" w14:textId="0C64A729" w:rsidR="00320893" w:rsidRDefault="00320893" w:rsidP="00320893">
      <w:pPr>
        <w:pStyle w:val="Default"/>
        <w:rPr>
          <w:color w:val="234060"/>
          <w:sz w:val="20"/>
          <w:szCs w:val="20"/>
        </w:rPr>
      </w:pPr>
      <w:r>
        <w:rPr>
          <w:b/>
          <w:bCs/>
          <w:color w:val="6F2F9F"/>
          <w:sz w:val="20"/>
          <w:szCs w:val="20"/>
        </w:rPr>
        <w:t xml:space="preserve">Inspire </w:t>
      </w:r>
      <w:r>
        <w:rPr>
          <w:color w:val="234060"/>
          <w:sz w:val="20"/>
          <w:szCs w:val="20"/>
        </w:rPr>
        <w:t xml:space="preserve">excellence by forging strong links with our partners and stakeholders and providing a service that people can trust, feel safe within, and feel proud of. </w:t>
      </w:r>
    </w:p>
    <w:p w14:paraId="566381A7" w14:textId="77777777" w:rsidR="00320893" w:rsidRDefault="00320893" w:rsidP="00320893">
      <w:pPr>
        <w:pStyle w:val="Default"/>
        <w:rPr>
          <w:b/>
          <w:bCs/>
          <w:color w:val="6F2F9F"/>
          <w:sz w:val="20"/>
          <w:szCs w:val="20"/>
        </w:rPr>
      </w:pPr>
    </w:p>
    <w:p w14:paraId="24D2A41C" w14:textId="3E5E1D34" w:rsidR="00320893" w:rsidRDefault="00320893" w:rsidP="00320893">
      <w:pPr>
        <w:pStyle w:val="Default"/>
        <w:rPr>
          <w:color w:val="234060"/>
          <w:sz w:val="20"/>
          <w:szCs w:val="20"/>
        </w:rPr>
      </w:pPr>
      <w:r>
        <w:rPr>
          <w:b/>
          <w:bCs/>
          <w:color w:val="6F2F9F"/>
          <w:sz w:val="20"/>
          <w:szCs w:val="20"/>
        </w:rPr>
        <w:t xml:space="preserve">Promote </w:t>
      </w:r>
      <w:r>
        <w:rPr>
          <w:color w:val="234060"/>
          <w:sz w:val="20"/>
          <w:szCs w:val="20"/>
        </w:rPr>
        <w:t xml:space="preserve">best practice, clinical supervision, </w:t>
      </w:r>
      <w:proofErr w:type="gramStart"/>
      <w:r>
        <w:rPr>
          <w:color w:val="234060"/>
          <w:sz w:val="20"/>
          <w:szCs w:val="20"/>
        </w:rPr>
        <w:t>evidence based</w:t>
      </w:r>
      <w:proofErr w:type="gramEnd"/>
      <w:r>
        <w:rPr>
          <w:color w:val="234060"/>
          <w:sz w:val="20"/>
          <w:szCs w:val="20"/>
        </w:rPr>
        <w:t xml:space="preserve"> care and continuous quality improvement, embedding a culture of shared learning. </w:t>
      </w:r>
    </w:p>
    <w:p w14:paraId="3B9338E5" w14:textId="77777777" w:rsidR="00320893" w:rsidRPr="00320893" w:rsidRDefault="00320893" w:rsidP="00320893">
      <w:pPr>
        <w:pStyle w:val="Default"/>
        <w:rPr>
          <w:color w:val="234060"/>
          <w:sz w:val="20"/>
          <w:szCs w:val="20"/>
        </w:rPr>
      </w:pPr>
    </w:p>
    <w:p w14:paraId="1F1664C0" w14:textId="4271DA5B" w:rsidR="00C55463" w:rsidRDefault="00320893" w:rsidP="00320893">
      <w:pPr>
        <w:spacing w:after="354" w:line="259" w:lineRule="auto"/>
        <w:ind w:left="0" w:right="-20" w:firstLine="0"/>
      </w:pPr>
      <w:r>
        <w:rPr>
          <w:b/>
          <w:bCs/>
          <w:color w:val="6F2F9F"/>
          <w:szCs w:val="20"/>
        </w:rPr>
        <w:lastRenderedPageBreak/>
        <w:t xml:space="preserve">Share </w:t>
      </w:r>
      <w:r>
        <w:rPr>
          <w:color w:val="234060"/>
          <w:szCs w:val="20"/>
        </w:rPr>
        <w:t xml:space="preserve">knowledge, skills and expertise to ensure safe care, building strong multi-disciplinary teams and supporting each other to do a great job. Encourage a shared learning approach to teaching. </w:t>
      </w:r>
      <w:r w:rsidR="00A26C1F">
        <w:rPr>
          <w:rFonts w:ascii="Calibri" w:eastAsia="Calibri" w:hAnsi="Calibri" w:cs="Calibri"/>
          <w:noProof/>
          <w:color w:val="000000"/>
          <w:sz w:val="22"/>
        </w:rPr>
        <mc:AlternateContent>
          <mc:Choice Requires="wpg">
            <w:drawing>
              <wp:inline distT="0" distB="0" distL="0" distR="0" wp14:anchorId="39A3E45D" wp14:editId="5F7C905C">
                <wp:extent cx="5734050" cy="695325"/>
                <wp:effectExtent l="0" t="0" r="0" b="0"/>
                <wp:docPr id="4171" name="Group 4171"/>
                <wp:cNvGraphicFramePr/>
                <a:graphic xmlns:a="http://schemas.openxmlformats.org/drawingml/2006/main">
                  <a:graphicData uri="http://schemas.microsoft.com/office/word/2010/wordprocessingGroup">
                    <wpg:wgp>
                      <wpg:cNvGrpSpPr/>
                      <wpg:grpSpPr>
                        <a:xfrm>
                          <a:off x="0" y="0"/>
                          <a:ext cx="5734050" cy="695325"/>
                          <a:chOff x="0" y="0"/>
                          <a:chExt cx="5734050" cy="695325"/>
                        </a:xfrm>
                      </wpg:grpSpPr>
                      <pic:pic xmlns:pic="http://schemas.openxmlformats.org/drawingml/2006/picture">
                        <pic:nvPicPr>
                          <pic:cNvPr id="703" name="Picture 703"/>
                          <pic:cNvPicPr/>
                        </pic:nvPicPr>
                        <pic:blipFill>
                          <a:blip r:embed="rId5"/>
                          <a:stretch>
                            <a:fillRect/>
                          </a:stretch>
                        </pic:blipFill>
                        <pic:spPr>
                          <a:xfrm>
                            <a:off x="2488017" y="0"/>
                            <a:ext cx="495300" cy="695325"/>
                          </a:xfrm>
                          <a:prstGeom prst="rect">
                            <a:avLst/>
                          </a:prstGeom>
                        </pic:spPr>
                      </pic:pic>
                      <pic:pic xmlns:pic="http://schemas.openxmlformats.org/drawingml/2006/picture">
                        <pic:nvPicPr>
                          <pic:cNvPr id="707" name="Picture 707"/>
                          <pic:cNvPicPr/>
                        </pic:nvPicPr>
                        <pic:blipFill>
                          <a:blip r:embed="rId6"/>
                          <a:stretch>
                            <a:fillRect/>
                          </a:stretch>
                        </pic:blipFill>
                        <pic:spPr>
                          <a:xfrm>
                            <a:off x="0" y="171450"/>
                            <a:ext cx="2219325" cy="19050"/>
                          </a:xfrm>
                          <a:prstGeom prst="rect">
                            <a:avLst/>
                          </a:prstGeom>
                        </pic:spPr>
                      </pic:pic>
                      <pic:pic xmlns:pic="http://schemas.openxmlformats.org/drawingml/2006/picture">
                        <pic:nvPicPr>
                          <pic:cNvPr id="709" name="Picture 709"/>
                          <pic:cNvPicPr/>
                        </pic:nvPicPr>
                        <pic:blipFill>
                          <a:blip r:embed="rId12"/>
                          <a:stretch>
                            <a:fillRect/>
                          </a:stretch>
                        </pic:blipFill>
                        <pic:spPr>
                          <a:xfrm>
                            <a:off x="3209925" y="133350"/>
                            <a:ext cx="2524125" cy="47625"/>
                          </a:xfrm>
                          <a:prstGeom prst="rect">
                            <a:avLst/>
                          </a:prstGeom>
                        </pic:spPr>
                      </pic:pic>
                    </wpg:wgp>
                  </a:graphicData>
                </a:graphic>
              </wp:inline>
            </w:drawing>
          </mc:Choice>
          <mc:Fallback xmlns:a="http://schemas.openxmlformats.org/drawingml/2006/main">
            <w:pict>
              <v:group id="Group 4171" style="width:451.5pt;height:54.75pt;mso-position-horizontal-relative:char;mso-position-vertical-relative:line" coordsize="57340,6953">
                <v:shape id="Picture 703" style="position:absolute;width:4953;height:6953;left:24880;top:0;" filled="f">
                  <v:imagedata r:id="rId8"/>
                </v:shape>
                <v:shape id="Picture 707" style="position:absolute;width:22193;height:190;left:0;top:1714;" filled="f">
                  <v:imagedata r:id="rId9"/>
                </v:shape>
                <v:shape id="Picture 709" style="position:absolute;width:25241;height:476;left:32099;top:1333;" filled="f">
                  <v:imagedata r:id="rId13"/>
                </v:shape>
              </v:group>
            </w:pict>
          </mc:Fallback>
        </mc:AlternateContent>
      </w:r>
    </w:p>
    <w:p w14:paraId="3923D372" w14:textId="77777777" w:rsidR="00C55463" w:rsidRDefault="00A26C1F">
      <w:pPr>
        <w:pStyle w:val="Heading1"/>
        <w:spacing w:after="254"/>
        <w:ind w:left="-5"/>
      </w:pPr>
      <w:r>
        <w:t>About you</w:t>
      </w:r>
    </w:p>
    <w:p w14:paraId="3B5B6D40" w14:textId="77777777" w:rsidR="00320893" w:rsidRPr="00320893" w:rsidRDefault="00320893" w:rsidP="00320893">
      <w:pPr>
        <w:pStyle w:val="Heading1"/>
        <w:spacing w:after="254"/>
        <w:ind w:left="-5"/>
      </w:pPr>
      <w:r w:rsidRPr="00320893">
        <w:t>Essential</w:t>
      </w:r>
    </w:p>
    <w:p w14:paraId="3D7B0991" w14:textId="77777777" w:rsidR="00320893" w:rsidRPr="00320893" w:rsidRDefault="00320893" w:rsidP="00320893">
      <w:pPr>
        <w:numPr>
          <w:ilvl w:val="0"/>
          <w:numId w:val="9"/>
        </w:numPr>
        <w:spacing w:before="100" w:beforeAutospacing="1" w:after="100" w:afterAutospacing="1" w:line="240" w:lineRule="auto"/>
      </w:pPr>
      <w:r w:rsidRPr="00320893">
        <w:t>Registered Nurse</w:t>
      </w:r>
    </w:p>
    <w:p w14:paraId="342AC6EF" w14:textId="77777777" w:rsidR="00320893" w:rsidRPr="00320893" w:rsidRDefault="00320893" w:rsidP="00320893">
      <w:pPr>
        <w:numPr>
          <w:ilvl w:val="0"/>
          <w:numId w:val="9"/>
        </w:numPr>
        <w:spacing w:before="100" w:beforeAutospacing="1" w:after="100" w:afterAutospacing="1" w:line="240" w:lineRule="auto"/>
      </w:pPr>
      <w:r w:rsidRPr="00320893">
        <w:t>Experience in women’s health, sexual health, or primary care.</w:t>
      </w:r>
    </w:p>
    <w:p w14:paraId="681E8EB2" w14:textId="77777777" w:rsidR="00320893" w:rsidRPr="00320893" w:rsidRDefault="00320893" w:rsidP="00320893">
      <w:pPr>
        <w:numPr>
          <w:ilvl w:val="0"/>
          <w:numId w:val="9"/>
        </w:numPr>
        <w:spacing w:before="100" w:beforeAutospacing="1" w:after="100" w:afterAutospacing="1" w:line="240" w:lineRule="auto"/>
      </w:pPr>
      <w:r w:rsidRPr="00320893">
        <w:t>Knowledge of menopause care, menstrual health, contraception, and ageing women’s needs.</w:t>
      </w:r>
    </w:p>
    <w:p w14:paraId="775534A0" w14:textId="77777777" w:rsidR="00320893" w:rsidRPr="00320893" w:rsidRDefault="00320893" w:rsidP="00320893">
      <w:pPr>
        <w:numPr>
          <w:ilvl w:val="0"/>
          <w:numId w:val="9"/>
        </w:numPr>
        <w:spacing w:before="100" w:beforeAutospacing="1" w:after="100" w:afterAutospacing="1" w:line="240" w:lineRule="auto"/>
      </w:pPr>
      <w:r w:rsidRPr="00320893">
        <w:t>Understanding of trauma-informed approaches and ability to apply them in practice.</w:t>
      </w:r>
    </w:p>
    <w:p w14:paraId="1AD0E8E5" w14:textId="77777777" w:rsidR="00320893" w:rsidRPr="00320893" w:rsidRDefault="00320893" w:rsidP="00320893">
      <w:pPr>
        <w:numPr>
          <w:ilvl w:val="0"/>
          <w:numId w:val="9"/>
        </w:numPr>
        <w:spacing w:before="100" w:beforeAutospacing="1" w:after="100" w:afterAutospacing="1" w:line="240" w:lineRule="auto"/>
      </w:pPr>
      <w:r w:rsidRPr="00320893">
        <w:t>Strong communication and interpersonal skills, with ability to build trust and rapport with vulnerable women.</w:t>
      </w:r>
    </w:p>
    <w:p w14:paraId="5B835BF3" w14:textId="77777777" w:rsidR="00320893" w:rsidRPr="00320893" w:rsidRDefault="00320893" w:rsidP="00320893">
      <w:pPr>
        <w:numPr>
          <w:ilvl w:val="0"/>
          <w:numId w:val="9"/>
        </w:numPr>
        <w:spacing w:before="100" w:beforeAutospacing="1" w:after="100" w:afterAutospacing="1" w:line="240" w:lineRule="auto"/>
      </w:pPr>
      <w:r w:rsidRPr="00320893">
        <w:t>Ability to work autonomously and within a multidisciplinary team.</w:t>
      </w:r>
    </w:p>
    <w:p w14:paraId="596B7369" w14:textId="77777777" w:rsidR="00320893" w:rsidRPr="00320893" w:rsidRDefault="00320893" w:rsidP="00320893">
      <w:pPr>
        <w:pStyle w:val="Heading1"/>
        <w:spacing w:after="254"/>
        <w:ind w:left="-5"/>
      </w:pPr>
      <w:r w:rsidRPr="00320893">
        <w:t>Desirable</w:t>
      </w:r>
    </w:p>
    <w:p w14:paraId="0A375FD6" w14:textId="77777777" w:rsidR="00320893" w:rsidRPr="00320893" w:rsidRDefault="00320893" w:rsidP="00320893">
      <w:pPr>
        <w:numPr>
          <w:ilvl w:val="0"/>
          <w:numId w:val="10"/>
        </w:numPr>
        <w:spacing w:before="100" w:beforeAutospacing="1" w:after="100" w:afterAutospacing="1" w:line="240" w:lineRule="auto"/>
      </w:pPr>
      <w:r w:rsidRPr="00320893">
        <w:t>Experience in a custodial, secure, or forensic environment.</w:t>
      </w:r>
    </w:p>
    <w:p w14:paraId="09643C4F" w14:textId="77777777" w:rsidR="00320893" w:rsidRPr="00320893" w:rsidRDefault="00320893" w:rsidP="00320893">
      <w:pPr>
        <w:numPr>
          <w:ilvl w:val="0"/>
          <w:numId w:val="10"/>
        </w:numPr>
        <w:spacing w:before="100" w:beforeAutospacing="1" w:after="100" w:afterAutospacing="1" w:line="240" w:lineRule="auto"/>
      </w:pPr>
      <w:r w:rsidRPr="00320893">
        <w:t>Training in sexual health or contraception (e.g., DFSRH, contraception competency).</w:t>
      </w:r>
    </w:p>
    <w:p w14:paraId="656A5294" w14:textId="77777777" w:rsidR="00320893" w:rsidRPr="00320893" w:rsidRDefault="00320893" w:rsidP="00320893">
      <w:pPr>
        <w:numPr>
          <w:ilvl w:val="0"/>
          <w:numId w:val="10"/>
        </w:numPr>
        <w:spacing w:before="100" w:beforeAutospacing="1" w:after="100" w:afterAutospacing="1" w:line="240" w:lineRule="auto"/>
      </w:pPr>
      <w:r w:rsidRPr="00320893">
        <w:t>Experience with mental health, substance misuse, or safeguarding.</w:t>
      </w:r>
    </w:p>
    <w:p w14:paraId="3AEED43A" w14:textId="77777777" w:rsidR="00320893" w:rsidRPr="00320893" w:rsidRDefault="00320893" w:rsidP="00320893">
      <w:pPr>
        <w:numPr>
          <w:ilvl w:val="0"/>
          <w:numId w:val="10"/>
        </w:numPr>
        <w:spacing w:before="100" w:beforeAutospacing="1" w:after="100" w:afterAutospacing="1" w:line="240" w:lineRule="auto"/>
      </w:pPr>
      <w:r w:rsidRPr="00320893">
        <w:t>Knowledge of health inequalities and social determinants of health.</w:t>
      </w:r>
    </w:p>
    <w:p w14:paraId="4737DB35" w14:textId="77777777" w:rsidR="00C55463" w:rsidRDefault="00A26C1F">
      <w:pPr>
        <w:spacing w:after="101" w:line="259" w:lineRule="auto"/>
        <w:ind w:left="0" w:right="-20" w:firstLine="0"/>
      </w:pPr>
      <w:r>
        <w:rPr>
          <w:rFonts w:ascii="Calibri" w:eastAsia="Calibri" w:hAnsi="Calibri" w:cs="Calibri"/>
          <w:noProof/>
          <w:color w:val="000000"/>
          <w:sz w:val="22"/>
        </w:rPr>
        <mc:AlternateContent>
          <mc:Choice Requires="wpg">
            <w:drawing>
              <wp:inline distT="0" distB="0" distL="0" distR="0" wp14:anchorId="31DDDBD6" wp14:editId="27477603">
                <wp:extent cx="5734050" cy="752475"/>
                <wp:effectExtent l="0" t="0" r="0" b="0"/>
                <wp:docPr id="4172" name="Group 4172"/>
                <wp:cNvGraphicFramePr/>
                <a:graphic xmlns:a="http://schemas.openxmlformats.org/drawingml/2006/main">
                  <a:graphicData uri="http://schemas.microsoft.com/office/word/2010/wordprocessingGroup">
                    <wpg:wgp>
                      <wpg:cNvGrpSpPr/>
                      <wpg:grpSpPr>
                        <a:xfrm>
                          <a:off x="0" y="0"/>
                          <a:ext cx="5734050" cy="752475"/>
                          <a:chOff x="0" y="0"/>
                          <a:chExt cx="5734050" cy="752475"/>
                        </a:xfrm>
                      </wpg:grpSpPr>
                      <pic:pic xmlns:pic="http://schemas.openxmlformats.org/drawingml/2006/picture">
                        <pic:nvPicPr>
                          <pic:cNvPr id="705" name="Picture 705"/>
                          <pic:cNvPicPr/>
                        </pic:nvPicPr>
                        <pic:blipFill>
                          <a:blip r:embed="rId5"/>
                          <a:stretch>
                            <a:fillRect/>
                          </a:stretch>
                        </pic:blipFill>
                        <pic:spPr>
                          <a:xfrm>
                            <a:off x="2488017" y="0"/>
                            <a:ext cx="523875" cy="752475"/>
                          </a:xfrm>
                          <a:prstGeom prst="rect">
                            <a:avLst/>
                          </a:prstGeom>
                        </pic:spPr>
                      </pic:pic>
                      <pic:pic xmlns:pic="http://schemas.openxmlformats.org/drawingml/2006/picture">
                        <pic:nvPicPr>
                          <pic:cNvPr id="711" name="Picture 711"/>
                          <pic:cNvPicPr/>
                        </pic:nvPicPr>
                        <pic:blipFill>
                          <a:blip r:embed="rId6"/>
                          <a:stretch>
                            <a:fillRect/>
                          </a:stretch>
                        </pic:blipFill>
                        <pic:spPr>
                          <a:xfrm>
                            <a:off x="0" y="171450"/>
                            <a:ext cx="2219325" cy="19050"/>
                          </a:xfrm>
                          <a:prstGeom prst="rect">
                            <a:avLst/>
                          </a:prstGeom>
                        </pic:spPr>
                      </pic:pic>
                      <pic:pic xmlns:pic="http://schemas.openxmlformats.org/drawingml/2006/picture">
                        <pic:nvPicPr>
                          <pic:cNvPr id="713" name="Picture 713"/>
                          <pic:cNvPicPr/>
                        </pic:nvPicPr>
                        <pic:blipFill>
                          <a:blip r:embed="rId12"/>
                          <a:stretch>
                            <a:fillRect/>
                          </a:stretch>
                        </pic:blipFill>
                        <pic:spPr>
                          <a:xfrm>
                            <a:off x="3209925" y="133350"/>
                            <a:ext cx="2524125" cy="47625"/>
                          </a:xfrm>
                          <a:prstGeom prst="rect">
                            <a:avLst/>
                          </a:prstGeom>
                        </pic:spPr>
                      </pic:pic>
                    </wpg:wgp>
                  </a:graphicData>
                </a:graphic>
              </wp:inline>
            </w:drawing>
          </mc:Choice>
          <mc:Fallback xmlns:a="http://schemas.openxmlformats.org/drawingml/2006/main">
            <w:pict>
              <v:group id="Group 4172" style="width:451.5pt;height:59.25pt;mso-position-horizontal-relative:char;mso-position-vertical-relative:line" coordsize="57340,7524">
                <v:shape id="Picture 705" style="position:absolute;width:5238;height:7524;left:24880;top:0;" filled="f">
                  <v:imagedata r:id="rId8"/>
                </v:shape>
                <v:shape id="Picture 711" style="position:absolute;width:22193;height:190;left:0;top:1714;" filled="f">
                  <v:imagedata r:id="rId9"/>
                </v:shape>
                <v:shape id="Picture 713" style="position:absolute;width:25241;height:476;left:32099;top:1333;" filled="f">
                  <v:imagedata r:id="rId13"/>
                </v:shape>
              </v:group>
            </w:pict>
          </mc:Fallback>
        </mc:AlternateContent>
      </w:r>
    </w:p>
    <w:p w14:paraId="44E16662" w14:textId="77777777" w:rsidR="00C55463" w:rsidRDefault="00A26C1F">
      <w:pPr>
        <w:pStyle w:val="Heading1"/>
        <w:ind w:left="-5"/>
      </w:pPr>
      <w:r>
        <w:t>Additional information</w:t>
      </w:r>
    </w:p>
    <w:p w14:paraId="1621872F" w14:textId="77777777" w:rsidR="00C55463" w:rsidRDefault="00A26C1F">
      <w:pPr>
        <w:spacing w:after="345" w:line="385" w:lineRule="auto"/>
        <w:ind w:left="-5" w:right="10"/>
      </w:pPr>
      <w:r>
        <w:rPr>
          <w:b/>
        </w:rPr>
        <w:t xml:space="preserve">Disclosure and Barring Service- </w:t>
      </w:r>
      <w:r>
        <w:t>a Disclosure and Barring Service disclosure at the enhanced level is required for this role. A risk assessment will be undertaken if necessary.</w:t>
      </w:r>
    </w:p>
    <w:p w14:paraId="1F4BD7CA" w14:textId="77777777" w:rsidR="00C55463" w:rsidRDefault="00A26C1F">
      <w:pPr>
        <w:spacing w:after="345" w:line="385" w:lineRule="auto"/>
        <w:ind w:left="-5" w:right="10"/>
      </w:pPr>
      <w:r>
        <w:rPr>
          <w:b/>
        </w:rPr>
        <w:t xml:space="preserve">Prison Vetting- </w:t>
      </w:r>
      <w:r>
        <w:t>a HMPPS (His Majesties Prison and Probation Service) clearance is required for this role in accordance with Ministry of Justice, plus local prison vetting.</w:t>
      </w:r>
    </w:p>
    <w:p w14:paraId="3BA21F53" w14:textId="77777777" w:rsidR="00C55463" w:rsidRDefault="00A26C1F">
      <w:pPr>
        <w:spacing w:line="385" w:lineRule="auto"/>
        <w:ind w:left="-5" w:right="10"/>
      </w:pPr>
      <w:r>
        <w:rPr>
          <w:b/>
        </w:rPr>
        <w:t xml:space="preserve">Education and Training- </w:t>
      </w:r>
      <w:r>
        <w:t>continuing professional development is encouraged and an annual appraisal system is in place to discuss ongoing objectives and support revalidation.</w:t>
      </w:r>
    </w:p>
    <w:sectPr w:rsidR="00C55463">
      <w:pgSz w:w="11920" w:h="16840"/>
      <w:pgMar w:top="1755" w:right="1470" w:bottom="18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001"/>
    <w:multiLevelType w:val="hybridMultilevel"/>
    <w:tmpl w:val="4738A37E"/>
    <w:lvl w:ilvl="0" w:tplc="8C7603EA">
      <w:start w:val="1"/>
      <w:numFmt w:val="bullet"/>
      <w:lvlText w:val="●"/>
      <w:lvlJc w:val="left"/>
      <w:pPr>
        <w:ind w:left="72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1" w:tplc="6E481868">
      <w:start w:val="1"/>
      <w:numFmt w:val="bullet"/>
      <w:lvlText w:val="o"/>
      <w:lvlJc w:val="left"/>
      <w:pPr>
        <w:ind w:left="144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2" w:tplc="C9A40CAA">
      <w:start w:val="1"/>
      <w:numFmt w:val="bullet"/>
      <w:lvlText w:val="▪"/>
      <w:lvlJc w:val="left"/>
      <w:pPr>
        <w:ind w:left="216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3" w:tplc="102E0530">
      <w:start w:val="1"/>
      <w:numFmt w:val="bullet"/>
      <w:lvlText w:val="•"/>
      <w:lvlJc w:val="left"/>
      <w:pPr>
        <w:ind w:left="288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4" w:tplc="6246B43C">
      <w:start w:val="1"/>
      <w:numFmt w:val="bullet"/>
      <w:lvlText w:val="o"/>
      <w:lvlJc w:val="left"/>
      <w:pPr>
        <w:ind w:left="360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5" w:tplc="D4267510">
      <w:start w:val="1"/>
      <w:numFmt w:val="bullet"/>
      <w:lvlText w:val="▪"/>
      <w:lvlJc w:val="left"/>
      <w:pPr>
        <w:ind w:left="432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6" w:tplc="587C0BF4">
      <w:start w:val="1"/>
      <w:numFmt w:val="bullet"/>
      <w:lvlText w:val="•"/>
      <w:lvlJc w:val="left"/>
      <w:pPr>
        <w:ind w:left="504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7" w:tplc="D028042C">
      <w:start w:val="1"/>
      <w:numFmt w:val="bullet"/>
      <w:lvlText w:val="o"/>
      <w:lvlJc w:val="left"/>
      <w:pPr>
        <w:ind w:left="576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8" w:tplc="4670A5F0">
      <w:start w:val="1"/>
      <w:numFmt w:val="bullet"/>
      <w:lvlText w:val="▪"/>
      <w:lvlJc w:val="left"/>
      <w:pPr>
        <w:ind w:left="6480"/>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abstractNum>
  <w:abstractNum w:abstractNumId="1" w15:restartNumberingAfterBreak="0">
    <w:nsid w:val="1F9D1104"/>
    <w:multiLevelType w:val="multilevel"/>
    <w:tmpl w:val="143C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C1803"/>
    <w:multiLevelType w:val="multilevel"/>
    <w:tmpl w:val="B240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246A4"/>
    <w:multiLevelType w:val="hybridMultilevel"/>
    <w:tmpl w:val="97786036"/>
    <w:lvl w:ilvl="0" w:tplc="50BE1072">
      <w:start w:val="1"/>
      <w:numFmt w:val="bullet"/>
      <w:lvlText w:val="●"/>
      <w:lvlJc w:val="left"/>
      <w:pPr>
        <w:ind w:left="705"/>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1" w:tplc="39EEDC02">
      <w:start w:val="1"/>
      <w:numFmt w:val="bullet"/>
      <w:lvlText w:val="o"/>
      <w:lvlJc w:val="left"/>
      <w:pPr>
        <w:ind w:left="144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2" w:tplc="F36AA8E8">
      <w:start w:val="1"/>
      <w:numFmt w:val="bullet"/>
      <w:lvlText w:val="▪"/>
      <w:lvlJc w:val="left"/>
      <w:pPr>
        <w:ind w:left="216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3" w:tplc="436AC4EC">
      <w:start w:val="1"/>
      <w:numFmt w:val="bullet"/>
      <w:lvlText w:val="•"/>
      <w:lvlJc w:val="left"/>
      <w:pPr>
        <w:ind w:left="288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4" w:tplc="28640312">
      <w:start w:val="1"/>
      <w:numFmt w:val="bullet"/>
      <w:lvlText w:val="o"/>
      <w:lvlJc w:val="left"/>
      <w:pPr>
        <w:ind w:left="360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5" w:tplc="44E20B62">
      <w:start w:val="1"/>
      <w:numFmt w:val="bullet"/>
      <w:lvlText w:val="▪"/>
      <w:lvlJc w:val="left"/>
      <w:pPr>
        <w:ind w:left="432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6" w:tplc="264EC590">
      <w:start w:val="1"/>
      <w:numFmt w:val="bullet"/>
      <w:lvlText w:val="•"/>
      <w:lvlJc w:val="left"/>
      <w:pPr>
        <w:ind w:left="504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7" w:tplc="C38A3428">
      <w:start w:val="1"/>
      <w:numFmt w:val="bullet"/>
      <w:lvlText w:val="o"/>
      <w:lvlJc w:val="left"/>
      <w:pPr>
        <w:ind w:left="576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lvl w:ilvl="8" w:tplc="3688511A">
      <w:start w:val="1"/>
      <w:numFmt w:val="bullet"/>
      <w:lvlText w:val="▪"/>
      <w:lvlJc w:val="left"/>
      <w:pPr>
        <w:ind w:left="6480"/>
      </w:pPr>
      <w:rPr>
        <w:rFonts w:ascii="Arial" w:eastAsia="Arial" w:hAnsi="Arial" w:cs="Arial"/>
        <w:b w:val="0"/>
        <w:i w:val="0"/>
        <w:strike w:val="0"/>
        <w:dstrike w:val="0"/>
        <w:color w:val="17365D"/>
        <w:sz w:val="20"/>
        <w:szCs w:val="20"/>
        <w:u w:val="none" w:color="000000"/>
        <w:bdr w:val="none" w:sz="0" w:space="0" w:color="auto"/>
        <w:shd w:val="clear" w:color="auto" w:fill="auto"/>
        <w:vertAlign w:val="baseline"/>
      </w:rPr>
    </w:lvl>
  </w:abstractNum>
  <w:abstractNum w:abstractNumId="4" w15:restartNumberingAfterBreak="0">
    <w:nsid w:val="476A5DFA"/>
    <w:multiLevelType w:val="multilevel"/>
    <w:tmpl w:val="FBBA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337F8"/>
    <w:multiLevelType w:val="multilevel"/>
    <w:tmpl w:val="CC18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C533F"/>
    <w:multiLevelType w:val="multilevel"/>
    <w:tmpl w:val="CF66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34F24"/>
    <w:multiLevelType w:val="multilevel"/>
    <w:tmpl w:val="9F18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1692E"/>
    <w:multiLevelType w:val="multilevel"/>
    <w:tmpl w:val="8BE4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C4012"/>
    <w:multiLevelType w:val="multilevel"/>
    <w:tmpl w:val="4B72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9"/>
  </w:num>
  <w:num w:numId="6">
    <w:abstractNumId w:val="1"/>
  </w:num>
  <w:num w:numId="7">
    <w:abstractNumId w:val="7"/>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63"/>
    <w:rsid w:val="00260DCA"/>
    <w:rsid w:val="00320893"/>
    <w:rsid w:val="007451BB"/>
    <w:rsid w:val="00A26C1F"/>
    <w:rsid w:val="00C4279C"/>
    <w:rsid w:val="00C55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9189"/>
  <w15:docId w15:val="{8FC9E6E6-56C6-43BC-9659-FAD87502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2" w:lineRule="auto"/>
      <w:ind w:left="10" w:hanging="10"/>
    </w:pPr>
    <w:rPr>
      <w:rFonts w:ascii="Arial" w:eastAsia="Arial" w:hAnsi="Arial" w:cs="Arial"/>
      <w:color w:val="244061"/>
      <w:sz w:val="20"/>
    </w:rPr>
  </w:style>
  <w:style w:type="paragraph" w:styleId="Heading1">
    <w:name w:val="heading 1"/>
    <w:next w:val="Normal"/>
    <w:link w:val="Heading1Char"/>
    <w:uiPriority w:val="9"/>
    <w:qFormat/>
    <w:pPr>
      <w:keepNext/>
      <w:keepLines/>
      <w:spacing w:after="215"/>
      <w:ind w:left="10" w:hanging="10"/>
      <w:outlineLvl w:val="0"/>
    </w:pPr>
    <w:rPr>
      <w:rFonts w:ascii="Arial" w:eastAsia="Arial" w:hAnsi="Arial" w:cs="Arial"/>
      <w:b/>
      <w:color w:val="7030A0"/>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7030A0"/>
      <w:sz w:val="22"/>
      <w:u w:val="single" w:color="7030A0"/>
    </w:rPr>
  </w:style>
  <w:style w:type="paragraph" w:customStyle="1" w:styleId="Default">
    <w:name w:val="Default"/>
    <w:rsid w:val="003208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Inpatients Lead JD.DOCX</dc:title>
  <dc:subject/>
  <dc:creator>Emily Jennings</dc:creator>
  <cp:keywords/>
  <cp:lastModifiedBy>Amy Samra</cp:lastModifiedBy>
  <cp:revision>3</cp:revision>
  <dcterms:created xsi:type="dcterms:W3CDTF">2026-01-13T14:46:00Z</dcterms:created>
  <dcterms:modified xsi:type="dcterms:W3CDTF">2026-01-13T14:51:00Z</dcterms:modified>
</cp:coreProperties>
</file>